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4CEDF" w14:textId="77777777" w:rsidR="009806C2" w:rsidRDefault="009806C2" w:rsidP="009806C2">
      <w:pPr>
        <w:spacing w:line="480" w:lineRule="auto"/>
        <w:jc w:val="center"/>
      </w:pPr>
    </w:p>
    <w:p w14:paraId="7D995152" w14:textId="77777777" w:rsidR="009806C2" w:rsidRDefault="009806C2" w:rsidP="009806C2">
      <w:pPr>
        <w:spacing w:line="480" w:lineRule="auto"/>
        <w:jc w:val="center"/>
      </w:pPr>
    </w:p>
    <w:p w14:paraId="71911E27" w14:textId="77777777" w:rsidR="009806C2" w:rsidRDefault="009806C2" w:rsidP="009806C2">
      <w:pPr>
        <w:spacing w:line="480" w:lineRule="auto"/>
        <w:jc w:val="center"/>
      </w:pPr>
    </w:p>
    <w:p w14:paraId="6B9EA554" w14:textId="77777777" w:rsidR="009806C2" w:rsidRDefault="009806C2" w:rsidP="009806C2">
      <w:pPr>
        <w:spacing w:line="480" w:lineRule="auto"/>
        <w:jc w:val="center"/>
      </w:pPr>
    </w:p>
    <w:p w14:paraId="765B3ABA" w14:textId="77777777" w:rsidR="009806C2" w:rsidRDefault="009806C2" w:rsidP="009806C2">
      <w:pPr>
        <w:spacing w:line="480" w:lineRule="auto"/>
        <w:jc w:val="center"/>
      </w:pPr>
    </w:p>
    <w:p w14:paraId="1845229B" w14:textId="77777777" w:rsidR="009806C2" w:rsidRDefault="009806C2" w:rsidP="009806C2">
      <w:pPr>
        <w:spacing w:line="480" w:lineRule="auto"/>
        <w:jc w:val="center"/>
      </w:pPr>
    </w:p>
    <w:p w14:paraId="65695D3C" w14:textId="24E8F67F" w:rsidR="009806C2" w:rsidRDefault="004778A8" w:rsidP="009806C2">
      <w:pPr>
        <w:spacing w:line="480" w:lineRule="auto"/>
        <w:jc w:val="center"/>
      </w:pPr>
      <w:r>
        <w:t>Student Name</w:t>
      </w:r>
    </w:p>
    <w:p w14:paraId="3B397E9F" w14:textId="5FFD3224" w:rsidR="009806C2" w:rsidRDefault="004778A8" w:rsidP="009806C2">
      <w:pPr>
        <w:spacing w:line="480" w:lineRule="auto"/>
        <w:jc w:val="center"/>
      </w:pPr>
      <w:r>
        <w:t>Student number</w:t>
      </w:r>
    </w:p>
    <w:p w14:paraId="0F798338" w14:textId="1AFC31E8" w:rsidR="009806C2" w:rsidRDefault="004778A8" w:rsidP="009806C2">
      <w:pPr>
        <w:spacing w:line="480" w:lineRule="auto"/>
        <w:jc w:val="center"/>
      </w:pPr>
      <w:r>
        <w:t>Campus</w:t>
      </w:r>
    </w:p>
    <w:p w14:paraId="58136487" w14:textId="1DE73459" w:rsidR="009806C2" w:rsidRDefault="004778A8" w:rsidP="009806C2">
      <w:pPr>
        <w:spacing w:line="480" w:lineRule="auto"/>
        <w:jc w:val="center"/>
      </w:pPr>
      <w:r>
        <w:t>Tutorial session.</w:t>
      </w:r>
    </w:p>
    <w:p w14:paraId="49D00170" w14:textId="4E1E5B5B" w:rsidR="009806C2" w:rsidRDefault="004778A8" w:rsidP="009806C2">
      <w:pPr>
        <w:spacing w:line="480" w:lineRule="auto"/>
        <w:jc w:val="center"/>
      </w:pPr>
      <w:r>
        <w:t>Tutor’s name</w:t>
      </w:r>
    </w:p>
    <w:p w14:paraId="4205F2E8" w14:textId="06B44DEE" w:rsidR="009806C2" w:rsidRDefault="004778A8">
      <w:r>
        <w:br w:type="page"/>
      </w:r>
    </w:p>
    <w:p w14:paraId="3D6CE876" w14:textId="642E75C8" w:rsidR="00524614" w:rsidRPr="008C1DEE" w:rsidRDefault="004778A8" w:rsidP="008C1DEE">
      <w:pPr>
        <w:spacing w:line="480" w:lineRule="auto"/>
        <w:ind w:firstLine="720"/>
        <w:jc w:val="both"/>
        <w:rPr>
          <w:b/>
          <w:bCs/>
        </w:rPr>
      </w:pPr>
      <w:r w:rsidRPr="008C1DEE">
        <w:rPr>
          <w:b/>
          <w:bCs/>
        </w:rPr>
        <w:lastRenderedPageBreak/>
        <w:t>Case Presentation.</w:t>
      </w:r>
    </w:p>
    <w:p w14:paraId="547241DC" w14:textId="3AE591C8" w:rsidR="007C41E1" w:rsidRDefault="004778A8" w:rsidP="008C1DEE">
      <w:pPr>
        <w:spacing w:line="480" w:lineRule="auto"/>
        <w:ind w:firstLine="720"/>
        <w:jc w:val="both"/>
        <w:rPr>
          <w:rFonts w:cs="Times New Roman"/>
          <w:color w:val="1B1B1B"/>
          <w:szCs w:val="24"/>
          <w:shd w:val="clear" w:color="auto" w:fill="FFFFFF"/>
        </w:rPr>
      </w:pPr>
      <w:r>
        <w:t xml:space="preserve">Mary, </w:t>
      </w:r>
      <w:r w:rsidRPr="00EE5944">
        <w:rPr>
          <w:rFonts w:cs="Times New Roman"/>
          <w:color w:val="1B1B1B"/>
          <w:szCs w:val="24"/>
          <w:shd w:val="clear" w:color="auto" w:fill="FFFFFF"/>
        </w:rPr>
        <w:t xml:space="preserve">A </w:t>
      </w:r>
      <w:r>
        <w:rPr>
          <w:rFonts w:cs="Times New Roman"/>
          <w:color w:val="1B1B1B"/>
          <w:szCs w:val="24"/>
          <w:shd w:val="clear" w:color="auto" w:fill="FFFFFF"/>
        </w:rPr>
        <w:t>50</w:t>
      </w:r>
      <w:r w:rsidRPr="00EE5944">
        <w:rPr>
          <w:rFonts w:cs="Times New Roman"/>
          <w:color w:val="1B1B1B"/>
          <w:szCs w:val="24"/>
          <w:shd w:val="clear" w:color="auto" w:fill="FFFFFF"/>
        </w:rPr>
        <w:t xml:space="preserve">-year-old woman </w:t>
      </w:r>
      <w:r>
        <w:rPr>
          <w:rFonts w:cs="Times New Roman"/>
          <w:color w:val="1B1B1B"/>
          <w:szCs w:val="24"/>
          <w:shd w:val="clear" w:color="auto" w:fill="FFFFFF"/>
        </w:rPr>
        <w:t xml:space="preserve">was </w:t>
      </w:r>
      <w:r w:rsidR="00F875D8">
        <w:rPr>
          <w:rFonts w:cs="Times New Roman"/>
          <w:color w:val="1B1B1B"/>
          <w:szCs w:val="24"/>
          <w:shd w:val="clear" w:color="auto" w:fill="FFFFFF"/>
        </w:rPr>
        <w:t>excavation</w:t>
      </w:r>
      <w:r>
        <w:rPr>
          <w:rFonts w:cs="Times New Roman"/>
          <w:color w:val="1B1B1B"/>
          <w:szCs w:val="24"/>
          <w:shd w:val="clear" w:color="auto" w:fill="FFFFFF"/>
        </w:rPr>
        <w:t xml:space="preserve"> manure into her </w:t>
      </w:r>
      <w:r w:rsidR="00F875D8">
        <w:rPr>
          <w:rFonts w:cs="Times New Roman"/>
          <w:color w:val="1B1B1B"/>
          <w:szCs w:val="24"/>
          <w:shd w:val="clear" w:color="auto" w:fill="FFFFFF"/>
        </w:rPr>
        <w:t>flower farm</w:t>
      </w:r>
      <w:r>
        <w:rPr>
          <w:rFonts w:cs="Times New Roman"/>
          <w:color w:val="1B1B1B"/>
          <w:szCs w:val="24"/>
          <w:shd w:val="clear" w:color="auto" w:fill="FFFFFF"/>
        </w:rPr>
        <w:t xml:space="preserve"> when she </w:t>
      </w:r>
      <w:r w:rsidR="00F875D8">
        <w:rPr>
          <w:rFonts w:cs="Times New Roman"/>
          <w:color w:val="1B1B1B"/>
          <w:szCs w:val="24"/>
          <w:shd w:val="clear" w:color="auto" w:fill="FFFFFF"/>
        </w:rPr>
        <w:t>developed</w:t>
      </w:r>
      <w:r>
        <w:rPr>
          <w:rFonts w:cs="Times New Roman"/>
          <w:color w:val="1B1B1B"/>
          <w:szCs w:val="24"/>
          <w:shd w:val="clear" w:color="auto" w:fill="FFFFFF"/>
        </w:rPr>
        <w:t xml:space="preserve"> a </w:t>
      </w:r>
      <w:r w:rsidR="00F875D8">
        <w:rPr>
          <w:rFonts w:cs="Times New Roman"/>
          <w:color w:val="1B1B1B"/>
          <w:szCs w:val="24"/>
          <w:shd w:val="clear" w:color="auto" w:fill="FFFFFF"/>
        </w:rPr>
        <w:t>dangerous</w:t>
      </w:r>
      <w:r>
        <w:rPr>
          <w:rFonts w:cs="Times New Roman"/>
          <w:color w:val="1B1B1B"/>
          <w:szCs w:val="24"/>
          <w:shd w:val="clear" w:color="auto" w:fill="FFFFFF"/>
        </w:rPr>
        <w:t xml:space="preserve"> cut on her right </w:t>
      </w:r>
      <w:r w:rsidR="00F875D8">
        <w:rPr>
          <w:rFonts w:cs="Times New Roman"/>
          <w:color w:val="1B1B1B"/>
          <w:szCs w:val="24"/>
          <w:shd w:val="clear" w:color="auto" w:fill="FFFFFF"/>
        </w:rPr>
        <w:t>leg</w:t>
      </w:r>
      <w:r>
        <w:rPr>
          <w:rFonts w:cs="Times New Roman"/>
          <w:color w:val="1B1B1B"/>
          <w:szCs w:val="24"/>
          <w:shd w:val="clear" w:color="auto" w:fill="FFFFFF"/>
        </w:rPr>
        <w:t xml:space="preserve">. After being </w:t>
      </w:r>
      <w:r w:rsidR="00F875D8">
        <w:rPr>
          <w:rFonts w:cs="Times New Roman"/>
          <w:color w:val="1B1B1B"/>
          <w:szCs w:val="24"/>
          <w:shd w:val="clear" w:color="auto" w:fill="FFFFFF"/>
        </w:rPr>
        <w:t>taken</w:t>
      </w:r>
      <w:r>
        <w:rPr>
          <w:rFonts w:cs="Times New Roman"/>
          <w:color w:val="1B1B1B"/>
          <w:szCs w:val="24"/>
          <w:shd w:val="clear" w:color="auto" w:fill="FFFFFF"/>
        </w:rPr>
        <w:t xml:space="preserve"> to the medical </w:t>
      </w:r>
      <w:r>
        <w:rPr>
          <w:rFonts w:cs="Times New Roman"/>
          <w:color w:val="1B1B1B"/>
          <w:szCs w:val="24"/>
          <w:shd w:val="clear" w:color="auto" w:fill="FFFFFF"/>
        </w:rPr>
        <w:t xml:space="preserve">center, her wound was </w:t>
      </w:r>
      <w:r w:rsidR="00F875D8">
        <w:rPr>
          <w:rFonts w:cs="Times New Roman"/>
          <w:color w:val="1B1B1B"/>
          <w:szCs w:val="24"/>
          <w:shd w:val="clear" w:color="auto" w:fill="FFFFFF"/>
        </w:rPr>
        <w:t>disemboweled</w:t>
      </w:r>
      <w:r>
        <w:rPr>
          <w:rFonts w:cs="Times New Roman"/>
          <w:color w:val="1B1B1B"/>
          <w:szCs w:val="24"/>
          <w:shd w:val="clear" w:color="auto" w:fill="FFFFFF"/>
        </w:rPr>
        <w:t xml:space="preserve"> and </w:t>
      </w:r>
      <w:r w:rsidR="00F875D8">
        <w:rPr>
          <w:rFonts w:cs="Times New Roman"/>
          <w:color w:val="1B1B1B"/>
          <w:szCs w:val="24"/>
          <w:shd w:val="clear" w:color="auto" w:fill="FFFFFF"/>
        </w:rPr>
        <w:t>stitched</w:t>
      </w:r>
      <w:r>
        <w:rPr>
          <w:rFonts w:cs="Times New Roman"/>
          <w:color w:val="1B1B1B"/>
          <w:szCs w:val="24"/>
          <w:shd w:val="clear" w:color="auto" w:fill="FFFFFF"/>
        </w:rPr>
        <w:t xml:space="preserve">. She had received a tetanus </w:t>
      </w:r>
      <w:r>
        <w:rPr>
          <w:rFonts w:cs="Times New Roman"/>
          <w:color w:val="1B1B1B"/>
          <w:szCs w:val="24"/>
          <w:shd w:val="clear" w:color="auto" w:fill="FFFFFF"/>
        </w:rPr>
        <w:t xml:space="preserve">injection and was </w:t>
      </w:r>
      <w:r w:rsidR="00F875D8">
        <w:rPr>
          <w:rFonts w:cs="Times New Roman"/>
          <w:color w:val="1B1B1B"/>
          <w:szCs w:val="24"/>
          <w:shd w:val="clear" w:color="auto" w:fill="FFFFFF"/>
        </w:rPr>
        <w:t>asked to go home</w:t>
      </w:r>
      <w:r>
        <w:rPr>
          <w:rFonts w:cs="Times New Roman"/>
          <w:color w:val="1B1B1B"/>
          <w:szCs w:val="24"/>
          <w:shd w:val="clear" w:color="auto" w:fill="FFFFFF"/>
        </w:rPr>
        <w:t xml:space="preserve">. </w:t>
      </w:r>
      <w:r w:rsidR="00F875D8">
        <w:rPr>
          <w:rFonts w:cs="Times New Roman"/>
          <w:color w:val="1B1B1B"/>
          <w:szCs w:val="24"/>
          <w:shd w:val="clear" w:color="auto" w:fill="FFFFFF"/>
        </w:rPr>
        <w:t>However, she went back to the</w:t>
      </w:r>
      <w:r>
        <w:rPr>
          <w:rFonts w:cs="Times New Roman"/>
          <w:color w:val="1B1B1B"/>
          <w:szCs w:val="24"/>
          <w:shd w:val="clear" w:color="auto" w:fill="FFFFFF"/>
        </w:rPr>
        <w:t xml:space="preserve"> </w:t>
      </w:r>
      <w:r w:rsidR="00F875D8">
        <w:rPr>
          <w:rFonts w:cs="Times New Roman"/>
          <w:color w:val="1B1B1B"/>
          <w:szCs w:val="24"/>
          <w:shd w:val="clear" w:color="auto" w:fill="FFFFFF"/>
        </w:rPr>
        <w:t>hospital</w:t>
      </w:r>
      <w:r>
        <w:rPr>
          <w:rFonts w:cs="Times New Roman"/>
          <w:color w:val="1B1B1B"/>
          <w:szCs w:val="24"/>
          <w:shd w:val="clear" w:color="auto" w:fill="FFFFFF"/>
        </w:rPr>
        <w:t xml:space="preserve"> forty-eight hours later.</w:t>
      </w:r>
    </w:p>
    <w:p w14:paraId="4F1C114F" w14:textId="02EE0E97" w:rsidR="00DA784A" w:rsidRPr="009806C2" w:rsidRDefault="004778A8" w:rsidP="008C1DEE">
      <w:pPr>
        <w:spacing w:line="480" w:lineRule="auto"/>
        <w:ind w:firstLine="720"/>
        <w:jc w:val="both"/>
        <w:rPr>
          <w:b/>
          <w:bCs/>
        </w:rPr>
      </w:pPr>
      <w:r w:rsidRPr="009806C2">
        <w:rPr>
          <w:b/>
          <w:bCs/>
        </w:rPr>
        <w:t>Physical Examination.</w:t>
      </w:r>
    </w:p>
    <w:p w14:paraId="01B27294" w14:textId="25A7E02C" w:rsidR="007C41E1" w:rsidRDefault="004778A8" w:rsidP="008C1DEE">
      <w:pPr>
        <w:spacing w:line="480" w:lineRule="auto"/>
        <w:ind w:firstLine="720"/>
        <w:jc w:val="both"/>
      </w:pPr>
      <w:r>
        <w:t>The temperature of the patient was recorded as 38.2 degrees Celsius</w:t>
      </w:r>
      <w:r>
        <w:t xml:space="preserve">, and a pressure of 120/80 mmHg. Upon observation of the wound, its </w:t>
      </w:r>
      <w:r w:rsidR="00F875D8">
        <w:t>boundaries</w:t>
      </w:r>
      <w:r>
        <w:t xml:space="preserve"> were red and </w:t>
      </w:r>
      <w:r w:rsidR="00F875D8">
        <w:t xml:space="preserve">sensitive to </w:t>
      </w:r>
      <w:r>
        <w:t xml:space="preserve">touch, the </w:t>
      </w:r>
      <w:r w:rsidR="00F875D8">
        <w:t>neighboring</w:t>
      </w:r>
      <w:r>
        <w:t xml:space="preserve"> tissues were </w:t>
      </w:r>
      <w:r w:rsidR="00F875D8">
        <w:t>puffy</w:t>
      </w:r>
      <w:r>
        <w:t xml:space="preserve">, and </w:t>
      </w:r>
      <w:r w:rsidR="00F875D8">
        <w:t>infected</w:t>
      </w:r>
      <w:r>
        <w:t xml:space="preserve"> and odorous </w:t>
      </w:r>
      <w:r w:rsidR="00F875D8">
        <w:t>ejection</w:t>
      </w:r>
      <w:r>
        <w:t xml:space="preserve"> was visible. The sensitivity and culture reports showed that the colonization orga</w:t>
      </w:r>
      <w:r>
        <w:t>nism was sensitive to amoxicillin. She had taken an Augmentin prescription</w:t>
      </w:r>
      <w:r w:rsidR="00F875D8">
        <w:t>.</w:t>
      </w:r>
    </w:p>
    <w:p w14:paraId="7BCD3AFA" w14:textId="350768CB" w:rsidR="007C41E1" w:rsidRPr="009806C2" w:rsidRDefault="004778A8" w:rsidP="008C1DEE">
      <w:pPr>
        <w:spacing w:line="480" w:lineRule="auto"/>
        <w:ind w:firstLine="720"/>
        <w:jc w:val="both"/>
        <w:rPr>
          <w:b/>
          <w:bCs/>
        </w:rPr>
      </w:pPr>
      <w:r w:rsidRPr="009806C2">
        <w:rPr>
          <w:b/>
          <w:bCs/>
        </w:rPr>
        <w:t>The rationale for a tetanus booster injection.</w:t>
      </w:r>
    </w:p>
    <w:p w14:paraId="784BFB00" w14:textId="47F4BA6A" w:rsidR="00B837DC" w:rsidRDefault="004778A8" w:rsidP="008C1DEE">
      <w:pPr>
        <w:spacing w:line="480" w:lineRule="auto"/>
        <w:ind w:firstLine="720"/>
        <w:jc w:val="both"/>
      </w:pPr>
      <w:r>
        <w:t>Tetanus is an illness of the nervous system that causes unwanted contractions of the muscle, e</w:t>
      </w:r>
      <w:r>
        <w:t xml:space="preserve">specially in the infected </w:t>
      </w:r>
      <w:r w:rsidR="00B32863">
        <w:t>area. Research</w:t>
      </w:r>
      <w:r w:rsidR="001E0A6B">
        <w:t xml:space="preserve"> by (Craft et al, 2019) argues that comprehension of the pathophysiology of any disease involves understanding its causes, and effective </w:t>
      </w:r>
      <w:r w:rsidR="00F60550">
        <w:t xml:space="preserve">symptoms, and </w:t>
      </w:r>
      <w:r w:rsidR="001E0A6B">
        <w:t>signs.</w:t>
      </w:r>
      <w:r>
        <w:t xml:space="preserve"> </w:t>
      </w:r>
      <w:r w:rsidR="00B44F7E">
        <w:t>Tetanus</w:t>
      </w:r>
      <w:r w:rsidR="00F60550">
        <w:t xml:space="preserve"> illness</w:t>
      </w:r>
      <w:r w:rsidR="00B44F7E">
        <w:t xml:space="preserve"> is </w:t>
      </w:r>
      <w:r w:rsidR="00F60550">
        <w:t>instigated</w:t>
      </w:r>
      <w:r w:rsidR="00B44F7E">
        <w:t xml:space="preserve"> by a </w:t>
      </w:r>
      <w:proofErr w:type="gramStart"/>
      <w:r w:rsidR="00F60550">
        <w:t>bacteria</w:t>
      </w:r>
      <w:proofErr w:type="gramEnd"/>
      <w:r w:rsidR="00B44F7E">
        <w:t xml:space="preserve"> called Clostridium tetani. These spores of the tetanus bacterium are located everywhere</w:t>
      </w:r>
      <w:r w:rsidR="00EB55D0">
        <w:t xml:space="preserve"> in the environment. Later, these spores redevelop themselves into bacteria as they </w:t>
      </w:r>
      <w:r w:rsidR="00DF0A92">
        <w:t>enter</w:t>
      </w:r>
      <w:r w:rsidR="00EB55D0">
        <w:t xml:space="preserve"> the body of the person. Therefore, since Mary was working on her garden, she may have encountered </w:t>
      </w:r>
      <w:r w:rsidR="00DF0A92">
        <w:t>this bacterium</w:t>
      </w:r>
      <w:r w:rsidR="00EB55D0">
        <w:t xml:space="preserve"> in the manure, soil, or dust. </w:t>
      </w:r>
    </w:p>
    <w:p w14:paraId="07A6BCE3" w14:textId="2BF49860" w:rsidR="00B32863" w:rsidRDefault="004778A8" w:rsidP="008C1DEE">
      <w:pPr>
        <w:spacing w:line="480" w:lineRule="auto"/>
        <w:ind w:firstLine="720"/>
        <w:jc w:val="both"/>
      </w:pPr>
      <w:r>
        <w:t xml:space="preserve">Thus, the rationale for giving a tetanus booster injection to Mary involved ensuring that she had </w:t>
      </w:r>
      <w:r w:rsidR="00521C1C">
        <w:t xml:space="preserve">sufficient antibodies that will permit neutralization of the toxin that was produced by the bacterium Clostridium tetani. </w:t>
      </w:r>
      <w:r w:rsidR="007F2236">
        <w:t xml:space="preserve">The doctor must ensure that the patient has completed primary </w:t>
      </w:r>
      <w:r w:rsidR="007F2236">
        <w:lastRenderedPageBreak/>
        <w:t xml:space="preserve">tetanus immunization. </w:t>
      </w:r>
      <w:r w:rsidR="0005344A">
        <w:t xml:space="preserve">If the examiner determines that the patient is unfamiliar with their immunization history, then an assumption that the patient has received no prior medication is avoided. </w:t>
      </w:r>
    </w:p>
    <w:p w14:paraId="61866A13" w14:textId="1543F71F" w:rsidR="0069731B" w:rsidRPr="009806C2" w:rsidRDefault="004778A8" w:rsidP="008C1DEE">
      <w:pPr>
        <w:spacing w:line="480" w:lineRule="auto"/>
        <w:ind w:firstLine="720"/>
        <w:jc w:val="both"/>
        <w:rPr>
          <w:b/>
          <w:bCs/>
        </w:rPr>
      </w:pPr>
      <w:r w:rsidRPr="009806C2">
        <w:rPr>
          <w:b/>
          <w:bCs/>
        </w:rPr>
        <w:t>Physiological basis for wound observation.</w:t>
      </w:r>
    </w:p>
    <w:p w14:paraId="6B6C0E0A" w14:textId="13B72F2E" w:rsidR="00201177" w:rsidRDefault="004778A8" w:rsidP="008C1DEE">
      <w:pPr>
        <w:spacing w:line="480" w:lineRule="auto"/>
        <w:ind w:firstLine="720"/>
        <w:jc w:val="both"/>
      </w:pPr>
      <w:r>
        <w:t xml:space="preserve">The signs and symptoms of tetanus involve high fever, increased heart rate, nervous system dysfunction, high blood pressure, and sweating. </w:t>
      </w:r>
      <w:r w:rsidR="000F4FB7">
        <w:t>These</w:t>
      </w:r>
      <w:r w:rsidR="000F11AA">
        <w:t xml:space="preserve"> symptoms usually emerge seven to ten days after the infection. </w:t>
      </w:r>
      <w:r w:rsidR="000E6896">
        <w:t>According to the physical</w:t>
      </w:r>
      <w:r>
        <w:t xml:space="preserve"> observation of the wou</w:t>
      </w:r>
      <w:r>
        <w:t>nd, its edges were red and hot to touch, the surrounding tissues were swollen, and purulent and odorous discharge was visible.</w:t>
      </w:r>
    </w:p>
    <w:p w14:paraId="6E4EB942" w14:textId="01777C6B" w:rsidR="006A3D0C" w:rsidRDefault="004778A8" w:rsidP="008C1DEE">
      <w:pPr>
        <w:spacing w:line="480" w:lineRule="auto"/>
        <w:ind w:firstLine="720"/>
        <w:jc w:val="both"/>
      </w:pPr>
      <w:r>
        <w:t>Red edges and hot-to-touch wound shows signs of infection. According to the article by (Grubbs, 2021), the process of wound heali</w:t>
      </w:r>
      <w:r>
        <w:t>ng involves complicated interactions between the inflammatory mediators and cells. Thus, the tetanus bacterium hinders this interaction from taking place, therefore, hindering wounds from filling on their own since tissues are unable to repair</w:t>
      </w:r>
      <w:r w:rsidR="005307E8">
        <w:t>,</w:t>
      </w:r>
      <w:r>
        <w:t xml:space="preserve"> and the epi</w:t>
      </w:r>
      <w:r>
        <w:t xml:space="preserve">thelial layer remains unrestored. Pain when touching is the result of the release of chemicals towards the wound, and nerve compression around the injured area, thus causing pain. </w:t>
      </w:r>
    </w:p>
    <w:p w14:paraId="4B194804" w14:textId="6E2AB4E0" w:rsidR="00996037" w:rsidRDefault="004778A8" w:rsidP="008C1DEE">
      <w:pPr>
        <w:spacing w:line="480" w:lineRule="auto"/>
        <w:ind w:firstLine="720"/>
        <w:jc w:val="both"/>
      </w:pPr>
      <w:r>
        <w:t xml:space="preserve">Swollen tissues around the edges of the wound </w:t>
      </w:r>
      <w:r w:rsidR="00B14E40">
        <w:t>are</w:t>
      </w:r>
      <w:r>
        <w:t xml:space="preserve"> a </w:t>
      </w:r>
      <w:r w:rsidR="00B14E40">
        <w:t>symptom since</w:t>
      </w:r>
      <w:r>
        <w:t xml:space="preserve"> it indica</w:t>
      </w:r>
      <w:r>
        <w:t xml:space="preserve">tes that there is inflammation in the tissues or muscles affected by Clostridium tetani causing external swelling. </w:t>
      </w:r>
      <w:r w:rsidR="003828FB">
        <w:t xml:space="preserve">Moreover, </w:t>
      </w:r>
      <w:r w:rsidR="00B14E40">
        <w:t>swelling becomes</w:t>
      </w:r>
      <w:r w:rsidR="003828FB">
        <w:t xml:space="preserve"> the result of increased movements of white blood cells and fluids into the injured area. </w:t>
      </w:r>
      <w:r w:rsidR="005307E8">
        <w:t>Based on an article by (Frykberg et al, 2015),</w:t>
      </w:r>
      <w:r w:rsidR="008A6C3B">
        <w:t xml:space="preserve"> the rationale for observing swollen wounds involve the administration of T</w:t>
      </w:r>
      <w:r w:rsidR="000F4FB7">
        <w:t xml:space="preserve">etanus </w:t>
      </w:r>
      <w:r w:rsidR="00BD154E">
        <w:t>Immunoglobulin to</w:t>
      </w:r>
      <w:r w:rsidR="008A6C3B">
        <w:t xml:space="preserve"> provide a direct antitoxin that ensures the spread of the toxin is </w:t>
      </w:r>
      <w:r w:rsidR="000F11AA">
        <w:t>contained since</w:t>
      </w:r>
      <w:r w:rsidR="008A6C3B">
        <w:t xml:space="preserve"> people with contaminated wounds are either unvaccinated or have not received the primary dose of tetanus. </w:t>
      </w:r>
    </w:p>
    <w:p w14:paraId="236E1A72" w14:textId="07AD2AC6" w:rsidR="008872B2" w:rsidRDefault="004778A8" w:rsidP="008C1DEE">
      <w:pPr>
        <w:spacing w:line="480" w:lineRule="auto"/>
        <w:ind w:firstLine="720"/>
        <w:jc w:val="both"/>
      </w:pPr>
      <w:r>
        <w:lastRenderedPageBreak/>
        <w:t xml:space="preserve">Furthermore, the odor was examined in Mary's wound as a symptom. </w:t>
      </w:r>
      <w:r w:rsidR="00BD154E">
        <w:t xml:space="preserve">Wound odor occurs as a result of colonization of the Clostridium tetani bacteria in the wound. </w:t>
      </w:r>
      <w:r w:rsidR="00066412">
        <w:t>Research by (Craft et al, 2019</w:t>
      </w:r>
      <w:r w:rsidR="00E46610">
        <w:t>), argues</w:t>
      </w:r>
      <w:r w:rsidR="00066412">
        <w:t xml:space="preserve"> that</w:t>
      </w:r>
      <w:r w:rsidR="0018694E">
        <w:t xml:space="preserve"> a chemical reaction between the dressing from hydrocolloids and the wound exudate may lead to odor. Thus, this may only be a symptom of any wound infection and does not indicate that the patient has tetanus. </w:t>
      </w:r>
    </w:p>
    <w:p w14:paraId="00EDFF5C" w14:textId="77777777" w:rsidR="008872B2" w:rsidRPr="009806C2" w:rsidRDefault="004778A8" w:rsidP="008C1DEE">
      <w:pPr>
        <w:spacing w:line="480" w:lineRule="auto"/>
        <w:ind w:firstLine="720"/>
        <w:jc w:val="both"/>
        <w:rPr>
          <w:b/>
          <w:bCs/>
        </w:rPr>
      </w:pPr>
      <w:r w:rsidRPr="009806C2">
        <w:rPr>
          <w:b/>
          <w:bCs/>
        </w:rPr>
        <w:t>Development and benefits of fever.</w:t>
      </w:r>
    </w:p>
    <w:p w14:paraId="3D595EB3" w14:textId="7DE99888" w:rsidR="000F11AA" w:rsidRDefault="004778A8" w:rsidP="008C1DEE">
      <w:pPr>
        <w:spacing w:line="480" w:lineRule="auto"/>
        <w:ind w:firstLine="720"/>
        <w:jc w:val="both"/>
      </w:pPr>
      <w:r>
        <w:t>Fever is</w:t>
      </w:r>
      <w:r>
        <w:t xml:space="preserve"> a </w:t>
      </w:r>
      <w:r w:rsidR="00E37CE4">
        <w:t>major symptom of many illnesses</w:t>
      </w:r>
      <w:r>
        <w:t xml:space="preserve">, and since the normal body temperature is thirty-seven degrees Celsius, fever refers to a </w:t>
      </w:r>
      <w:r w:rsidR="00E37CE4">
        <w:t>temporary increase</w:t>
      </w:r>
      <w:r>
        <w:t xml:space="preserve"> in temperature. </w:t>
      </w:r>
      <w:r w:rsidR="00066412">
        <w:t xml:space="preserve"> </w:t>
      </w:r>
      <w:r w:rsidR="00E37CE4">
        <w:t>Fever is caused b</w:t>
      </w:r>
      <w:r w:rsidR="00B349E5">
        <w:t>y</w:t>
      </w:r>
      <w:r w:rsidR="00E37CE4">
        <w:t xml:space="preserve"> different pyrogens and microbes. The breakdown of lipopolysaccharide toxins and proteins may alter the balance of the hypothalamic thermoregulator. </w:t>
      </w:r>
      <w:r w:rsidR="00B349E5">
        <w:t>Therefore, fever develops when host cells are induced with exogenous pyrogens such as macrophages and leukocytes causing them to give mediators that produce fever such as interleukin-1. These are referred to as endogenous pyrogen. Thus, when bacterial phagocytosis releases endogenous pyrogens into the blood circulation</w:t>
      </w:r>
      <w:r w:rsidR="00BF61A8">
        <w:t xml:space="preserve"> which increases the hypothalamic thermoregulatory temperature through prostaglandin E2. </w:t>
      </w:r>
      <w:r w:rsidR="007F1D1D">
        <w:t>Due to the changes in the setpoint, the hypothalamus initiates behaviors involving heat products such as vasoconstriction and shivering that in turn raise the body temperature resulting in fever</w:t>
      </w:r>
      <w:r w:rsidR="0067689C">
        <w:t xml:space="preserve"> (P</w:t>
      </w:r>
      <w:r w:rsidR="00FA0479">
        <w:t>l</w:t>
      </w:r>
      <w:r w:rsidR="0067689C">
        <w:t>aza et al, 2016)</w:t>
      </w:r>
      <w:r w:rsidR="007F1D1D">
        <w:t xml:space="preserve">. The signs and symptoms of fever involve </w:t>
      </w:r>
      <w:r w:rsidR="00F3009B">
        <w:t xml:space="preserve">shaking, fatigue, constant sweating, flushed complexion, and elevated temperature. </w:t>
      </w:r>
    </w:p>
    <w:p w14:paraId="058D85D5" w14:textId="5BCE2C13" w:rsidR="00FA0479" w:rsidRDefault="004778A8" w:rsidP="008C1DEE">
      <w:pPr>
        <w:spacing w:line="480" w:lineRule="auto"/>
        <w:ind w:firstLine="720"/>
        <w:jc w:val="both"/>
      </w:pPr>
      <w:r>
        <w:t>Moreover, fever plays an important ro</w:t>
      </w:r>
      <w:r w:rsidR="00C1771A">
        <w:t>l</w:t>
      </w:r>
      <w:r>
        <w:t xml:space="preserve">e in the human body. For instance, fever ensures that the body temperature is raised to a temperature that microorganisms cannot survive. Thus, it presents a </w:t>
      </w:r>
      <w:r>
        <w:t>critical opposition to the development, growth, and replication of bacteria, and viruses</w:t>
      </w:r>
      <w:r w:rsidR="00053F62">
        <w:t xml:space="preserve"> by decreasing the level of blood serum of copper, zinc, and iron which are needed for effective replication of microbes. </w:t>
      </w:r>
      <w:r w:rsidR="001F7907">
        <w:t xml:space="preserve">Second, an increase in temperature caused by fever leads to the breakdown </w:t>
      </w:r>
      <w:r w:rsidR="001F7907">
        <w:lastRenderedPageBreak/>
        <w:t xml:space="preserve">of lysosomes, and the destruction of cells containing the viruses and bacteria thus preventing their transference and replication. </w:t>
      </w:r>
      <w:r w:rsidR="00A8256D">
        <w:t xml:space="preserve">Furthermore, increased temperature causes an increase in the number of white blood cells, which ensures that invading microbes are destroyed, and their </w:t>
      </w:r>
      <w:r w:rsidR="00811A14">
        <w:t>multiplication</w:t>
      </w:r>
      <w:r w:rsidR="00A8256D">
        <w:t xml:space="preserve"> halted</w:t>
      </w:r>
      <w:r w:rsidR="00C1771A">
        <w:t xml:space="preserve"> (Lee et al, 2012)</w:t>
      </w:r>
      <w:r w:rsidR="00A8256D">
        <w:t xml:space="preserve">. </w:t>
      </w:r>
    </w:p>
    <w:p w14:paraId="1C18B62E" w14:textId="7FF43027" w:rsidR="00811A14" w:rsidRPr="009806C2" w:rsidRDefault="004778A8" w:rsidP="008C1DEE">
      <w:pPr>
        <w:spacing w:line="480" w:lineRule="auto"/>
        <w:ind w:firstLine="720"/>
        <w:jc w:val="both"/>
        <w:rPr>
          <w:b/>
          <w:bCs/>
        </w:rPr>
      </w:pPr>
      <w:r w:rsidRPr="009806C2">
        <w:rPr>
          <w:b/>
          <w:bCs/>
        </w:rPr>
        <w:t>Sources of Contamination and Modes of Transmission.</w:t>
      </w:r>
    </w:p>
    <w:p w14:paraId="5A8D70A8" w14:textId="688AD92F" w:rsidR="003C381D" w:rsidRDefault="004778A8" w:rsidP="008C1DEE">
      <w:pPr>
        <w:spacing w:line="480" w:lineRule="auto"/>
        <w:ind w:firstLine="720"/>
        <w:jc w:val="both"/>
      </w:pPr>
      <w:r>
        <w:t xml:space="preserve">The sources of contamination of a wound from bacteria can be either be endogenous or exogenous. Endogenous </w:t>
      </w:r>
      <w:r>
        <w:t>microbial contamination involves corruption by infectious agents that already exist in the host’s body.</w:t>
      </w:r>
      <w:r w:rsidR="00D06D9E">
        <w:t xml:space="preserve"> One of the major internal contamination sources involves bowel perforation. Bowel perforation involves </w:t>
      </w:r>
      <w:r w:rsidR="00FD4B25">
        <w:t>the development of a hole in the bowel wall of the intestinal tract, that leads to an internal wound that may lead to death, sepsis, shock, and organ failure if left untreated</w:t>
      </w:r>
      <w:r w:rsidR="00E96BD8">
        <w:t xml:space="preserve"> (Levack et al, 2014)</w:t>
      </w:r>
      <w:r w:rsidR="00FD4B25">
        <w:t>.</w:t>
      </w:r>
      <w:r w:rsidR="004B3A05">
        <w:t xml:space="preserve"> </w:t>
      </w:r>
      <w:r w:rsidR="007576EC">
        <w:t>Thus, when a body becomes infected with its bacteria, it breaks a barrier between the non-sterile and sterile</w:t>
      </w:r>
      <w:r w:rsidR="00176311">
        <w:t>.</w:t>
      </w:r>
      <w:r w:rsidR="009E6136">
        <w:t xml:space="preserve"> </w:t>
      </w:r>
      <w:r w:rsidR="004F2A2D">
        <w:t xml:space="preserve">People that have already undergone surgery, bowel perforation, or chemotherapy may already have an endogenous infection due to the weakened immune system. </w:t>
      </w:r>
      <w:r>
        <w:t>The presence of a dormant pathogen in the body may be activated again and affect the host, such a</w:t>
      </w:r>
      <w:r>
        <w:t xml:space="preserve">s in the case of tetanus bacteria Clostridium tetani. </w:t>
      </w:r>
      <w:r w:rsidR="00144584">
        <w:t xml:space="preserve">Surgical site infection </w:t>
      </w:r>
      <w:r w:rsidR="00D06D9E">
        <w:t>is</w:t>
      </w:r>
      <w:r w:rsidR="00144584">
        <w:t xml:space="preserve"> therefore transmitted through internal preexisting germs, germs in the air, and spread through the wound hindering the healing process.</w:t>
      </w:r>
    </w:p>
    <w:p w14:paraId="68D62EA2" w14:textId="4CD14ACB" w:rsidR="001F7907" w:rsidRDefault="004778A8" w:rsidP="008C1DEE">
      <w:pPr>
        <w:spacing w:line="480" w:lineRule="auto"/>
        <w:ind w:firstLine="720"/>
        <w:jc w:val="both"/>
      </w:pPr>
      <w:r>
        <w:t>Exogenous contamination involves intrus</w:t>
      </w:r>
      <w:r>
        <w:t>ion that is not found in the body but outside the body of the individual</w:t>
      </w:r>
      <w:r w:rsidR="0099632C">
        <w:t>. Exogenous contamination may either cause</w:t>
      </w:r>
      <w:r w:rsidR="00FC5FE5">
        <w:t xml:space="preserve"> a negative or a positive biases in analytical results. </w:t>
      </w:r>
      <w:r w:rsidR="00D06D9E">
        <w:t>One of the major contamination sources involves surgical procedures where the wound become infected after a surgical site infection</w:t>
      </w:r>
      <w:r w:rsidR="00E83B4C">
        <w:t xml:space="preserve"> (Marieb, 1992)</w:t>
      </w:r>
      <w:r w:rsidR="00D06D9E">
        <w:t xml:space="preserve">. A huge number of surgical site infections are caused when an incision becomes polluted with microbes from an opened internal organ. </w:t>
      </w:r>
      <w:r w:rsidR="00FC5FE5">
        <w:t xml:space="preserve">The pathogens are usually introduced into the body through contaminated </w:t>
      </w:r>
      <w:r w:rsidR="00FC5FE5">
        <w:lastRenderedPageBreak/>
        <w:t xml:space="preserve">surfaces, workers, and devices that compromise the immune system of an individual. For example, individuals with open incisions, and dwelling devices are at a higher risk of getting contaminations. </w:t>
      </w:r>
      <w:r w:rsidR="00DA4183">
        <w:t xml:space="preserve">Thus, getting rid of exogenous contamination is solely dependent on the ability to maintain an effective patient environment, through effective hygiene, and decontamination of important surfaces and devices. </w:t>
      </w:r>
    </w:p>
    <w:p w14:paraId="3EE85A6D" w14:textId="5D975FF3" w:rsidR="001F7907" w:rsidRPr="009806C2" w:rsidRDefault="004778A8" w:rsidP="008C1DEE">
      <w:pPr>
        <w:spacing w:line="480" w:lineRule="auto"/>
        <w:ind w:firstLine="720"/>
        <w:jc w:val="both"/>
        <w:rPr>
          <w:b/>
          <w:bCs/>
        </w:rPr>
      </w:pPr>
      <w:r w:rsidRPr="009806C2">
        <w:rPr>
          <w:b/>
          <w:bCs/>
        </w:rPr>
        <w:t>Appropriateness of Augmentin.</w:t>
      </w:r>
    </w:p>
    <w:p w14:paraId="09E954CB" w14:textId="049B0039" w:rsidR="00141AD2" w:rsidRDefault="004778A8" w:rsidP="008C1DEE">
      <w:pPr>
        <w:spacing w:line="480" w:lineRule="auto"/>
        <w:ind w:firstLine="720"/>
        <w:jc w:val="both"/>
      </w:pPr>
      <w:r>
        <w:t>Augmentin involves a constitution of both clavulanate potassium a</w:t>
      </w:r>
      <w:r>
        <w:t>nd amoxicillin</w:t>
      </w:r>
      <w:r w:rsidR="00833F4E">
        <w:t xml:space="preserve"> (Burchum et al, 2019)</w:t>
      </w:r>
      <w:r>
        <w:t>. Since physical examination showed that the colonization organism was sensitive to amoxicillin, Augmentin as a prescription was the appropriate choice</w:t>
      </w:r>
      <w:r w:rsidR="00341CAC">
        <w:t xml:space="preserve"> (Lehne et al, 2013)</w:t>
      </w:r>
      <w:r>
        <w:t xml:space="preserve">. </w:t>
      </w:r>
      <w:r w:rsidR="008528EA">
        <w:t>Amoxicillin</w:t>
      </w:r>
      <w:r w:rsidR="00323AF6">
        <w:t xml:space="preserve"> is an antibiotic responsible for fighting the growth and replication of the bacteria, thus, the </w:t>
      </w:r>
      <w:r w:rsidR="003245A8">
        <w:t>colonization process will be reduced.</w:t>
      </w:r>
      <w:r>
        <w:t xml:space="preserve"> It ensures that bacteria are killed by causing inhibition of the biosynthesis of the peptidoglycan layer of the wall of the bacteria, thus interrupting the e</w:t>
      </w:r>
      <w:r>
        <w:t>ffective construction of the wall of the cell leading to their destruction</w:t>
      </w:r>
      <w:r w:rsidR="009925DC">
        <w:t xml:space="preserve"> (Evans et al, 2019)</w:t>
      </w:r>
      <w:r>
        <w:t xml:space="preserve">. </w:t>
      </w:r>
    </w:p>
    <w:p w14:paraId="1348DCD9" w14:textId="0021D5B2" w:rsidR="00A50552" w:rsidRDefault="004778A8" w:rsidP="008C1DEE">
      <w:pPr>
        <w:spacing w:line="480" w:lineRule="auto"/>
        <w:ind w:firstLine="720"/>
        <w:jc w:val="both"/>
      </w:pPr>
      <w:r>
        <w:t xml:space="preserve"> </w:t>
      </w:r>
      <w:r w:rsidR="008528EA">
        <w:t xml:space="preserve">Clavulanate potassium is an inhibitor drug. That is, it ensures that the bacteria do not develop resistance towards amoxicillin. With this combination, Augmentin can reduce the existence of bacteria that are resistant to drugs to ensure that its effectiveness is maintained. </w:t>
      </w:r>
      <w:r w:rsidR="00496DA7">
        <w:t xml:space="preserve">Based on research by (Evans et al, 2020), </w:t>
      </w:r>
      <w:r w:rsidR="00273B8C">
        <w:t>Clavulanate potassium contains Clavula</w:t>
      </w:r>
      <w:r w:rsidR="0087400A">
        <w:t>n</w:t>
      </w:r>
      <w:r w:rsidR="00273B8C">
        <w:t xml:space="preserve">ic acid </w:t>
      </w:r>
      <w:r w:rsidR="0087400A">
        <w:t xml:space="preserve">which increases the spectrum that covers a broad area of species of bacteria. </w:t>
      </w:r>
    </w:p>
    <w:p w14:paraId="2D0FD0A7" w14:textId="562A8984" w:rsidR="00A74ADF" w:rsidRDefault="004778A8" w:rsidP="008C1DEE">
      <w:pPr>
        <w:jc w:val="center"/>
        <w:rPr>
          <w:b/>
          <w:bCs/>
        </w:rPr>
      </w:pPr>
      <w:r>
        <w:br w:type="page"/>
      </w:r>
      <w:r w:rsidRPr="008C1DEE">
        <w:rPr>
          <w:b/>
          <w:bCs/>
        </w:rPr>
        <w:lastRenderedPageBreak/>
        <w:t>References.</w:t>
      </w:r>
    </w:p>
    <w:p w14:paraId="7D347862" w14:textId="77777777" w:rsidR="008C1DEE" w:rsidRPr="008C1DEE" w:rsidRDefault="008C1DEE" w:rsidP="008C1DEE">
      <w:pPr>
        <w:spacing w:line="480" w:lineRule="auto"/>
        <w:ind w:left="720" w:hanging="720"/>
        <w:jc w:val="both"/>
        <w:rPr>
          <w:rFonts w:cs="Times New Roman"/>
          <w:b/>
          <w:bCs/>
          <w:sz w:val="32"/>
          <w:szCs w:val="28"/>
        </w:rPr>
      </w:pPr>
    </w:p>
    <w:p w14:paraId="60FB3A9D"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Burchum, J., &amp; Rosenthal, L. (2014). </w:t>
      </w:r>
      <w:r w:rsidRPr="008C1DEE">
        <w:rPr>
          <w:rFonts w:cs="Times New Roman"/>
          <w:i/>
          <w:iCs/>
          <w:color w:val="222222"/>
          <w:szCs w:val="24"/>
          <w:shd w:val="clear" w:color="auto" w:fill="FFFFFF"/>
        </w:rPr>
        <w:t>Lehne's Pharmacolo</w:t>
      </w:r>
      <w:r w:rsidRPr="008C1DEE">
        <w:rPr>
          <w:rFonts w:cs="Times New Roman"/>
          <w:i/>
          <w:iCs/>
          <w:color w:val="222222"/>
          <w:szCs w:val="24"/>
          <w:shd w:val="clear" w:color="auto" w:fill="FFFFFF"/>
        </w:rPr>
        <w:t>gy for Nursing Care-E-Book</w:t>
      </w:r>
      <w:r w:rsidRPr="008C1DEE">
        <w:rPr>
          <w:rFonts w:cs="Times New Roman"/>
          <w:color w:val="222222"/>
          <w:szCs w:val="24"/>
          <w:shd w:val="clear" w:color="auto" w:fill="FFFFFF"/>
        </w:rPr>
        <w:t>. Elsevier Health Sciences.</w:t>
      </w:r>
    </w:p>
    <w:p w14:paraId="21049259"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Craft, J., Gordon, C., Huether, S. E., McCance, K. L., &amp; Brashers, V. L. (2014). </w:t>
      </w:r>
      <w:r w:rsidRPr="008C1DEE">
        <w:rPr>
          <w:rFonts w:cs="Times New Roman"/>
          <w:i/>
          <w:iCs/>
          <w:color w:val="222222"/>
          <w:szCs w:val="24"/>
          <w:shd w:val="clear" w:color="auto" w:fill="FFFFFF"/>
        </w:rPr>
        <w:t>Understanding pathophysiology-ANZ adaptation</w:t>
      </w:r>
      <w:r w:rsidRPr="008C1DEE">
        <w:rPr>
          <w:rFonts w:cs="Times New Roman"/>
          <w:color w:val="222222"/>
          <w:szCs w:val="24"/>
          <w:shd w:val="clear" w:color="auto" w:fill="FFFFFF"/>
        </w:rPr>
        <w:t>. Elsevier Health Sciences.</w:t>
      </w:r>
    </w:p>
    <w:p w14:paraId="476F16BB"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Evans, J., Hannoodee, M., &amp; Wittler, M. (2019). A</w:t>
      </w:r>
      <w:r w:rsidRPr="008C1DEE">
        <w:rPr>
          <w:rFonts w:cs="Times New Roman"/>
          <w:color w:val="222222"/>
          <w:szCs w:val="24"/>
          <w:shd w:val="clear" w:color="auto" w:fill="FFFFFF"/>
        </w:rPr>
        <w:t>moxicillin Clavulanate.</w:t>
      </w:r>
    </w:p>
    <w:p w14:paraId="0BC7D8D5"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FrykbergRobert, G. (2015). Challenges in the treatment of chronic wounds. </w:t>
      </w:r>
      <w:r w:rsidRPr="008C1DEE">
        <w:rPr>
          <w:rFonts w:cs="Times New Roman"/>
          <w:i/>
          <w:iCs/>
          <w:color w:val="222222"/>
          <w:szCs w:val="24"/>
          <w:shd w:val="clear" w:color="auto" w:fill="FFFFFF"/>
        </w:rPr>
        <w:t>Advances in wound care</w:t>
      </w:r>
      <w:r w:rsidRPr="008C1DEE">
        <w:rPr>
          <w:rFonts w:cs="Times New Roman"/>
          <w:color w:val="222222"/>
          <w:szCs w:val="24"/>
          <w:shd w:val="clear" w:color="auto" w:fill="FFFFFF"/>
        </w:rPr>
        <w:t>.</w:t>
      </w:r>
    </w:p>
    <w:p w14:paraId="0CD60F24"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Lee, G., &amp; Bishop, P. (2012). </w:t>
      </w:r>
      <w:r w:rsidRPr="008C1DEE">
        <w:rPr>
          <w:rFonts w:cs="Times New Roman"/>
          <w:i/>
          <w:iCs/>
          <w:color w:val="222222"/>
          <w:szCs w:val="24"/>
          <w:shd w:val="clear" w:color="auto" w:fill="FFFFFF"/>
        </w:rPr>
        <w:t>Microbiology and infection control for health professionals</w:t>
      </w:r>
      <w:r w:rsidRPr="008C1DEE">
        <w:rPr>
          <w:rFonts w:cs="Times New Roman"/>
          <w:color w:val="222222"/>
          <w:szCs w:val="24"/>
          <w:shd w:val="clear" w:color="auto" w:fill="FFFFFF"/>
        </w:rPr>
        <w:t>. Pearson Higher Education AU.</w:t>
      </w:r>
    </w:p>
    <w:p w14:paraId="0B0F8E8E"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Lehne, R. A. (</w:t>
      </w:r>
      <w:r w:rsidRPr="008C1DEE">
        <w:rPr>
          <w:rFonts w:cs="Times New Roman"/>
          <w:color w:val="222222"/>
          <w:szCs w:val="24"/>
          <w:shd w:val="clear" w:color="auto" w:fill="FFFFFF"/>
        </w:rPr>
        <w:t>2013). </w:t>
      </w:r>
      <w:r w:rsidRPr="008C1DEE">
        <w:rPr>
          <w:rFonts w:cs="Times New Roman"/>
          <w:i/>
          <w:iCs/>
          <w:color w:val="222222"/>
          <w:szCs w:val="24"/>
          <w:shd w:val="clear" w:color="auto" w:fill="FFFFFF"/>
        </w:rPr>
        <w:t>Pharmacology for nursing care</w:t>
      </w:r>
      <w:r w:rsidRPr="008C1DEE">
        <w:rPr>
          <w:rFonts w:cs="Times New Roman"/>
          <w:color w:val="222222"/>
          <w:szCs w:val="24"/>
          <w:shd w:val="clear" w:color="auto" w:fill="FFFFFF"/>
        </w:rPr>
        <w:t>. Elsevier Health Sciences.</w:t>
      </w:r>
    </w:p>
    <w:p w14:paraId="6EDC9315"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Levack, M. M., Madariaga, M. L., &amp; Kaafarani, H. M. (2014). Non-operative successful management of a perforated small bowel diverticulum. </w:t>
      </w:r>
      <w:r w:rsidRPr="008C1DEE">
        <w:rPr>
          <w:rFonts w:cs="Times New Roman"/>
          <w:i/>
          <w:iCs/>
          <w:color w:val="222222"/>
          <w:szCs w:val="24"/>
          <w:shd w:val="clear" w:color="auto" w:fill="FFFFFF"/>
        </w:rPr>
        <w:t>World Journal of Gastroenterology: WJG</w:t>
      </w:r>
      <w:r w:rsidRPr="008C1DEE">
        <w:rPr>
          <w:rFonts w:cs="Times New Roman"/>
          <w:color w:val="222222"/>
          <w:szCs w:val="24"/>
          <w:shd w:val="clear" w:color="auto" w:fill="FFFFFF"/>
        </w:rPr>
        <w:t>, </w:t>
      </w:r>
      <w:r w:rsidRPr="008C1DEE">
        <w:rPr>
          <w:rFonts w:cs="Times New Roman"/>
          <w:i/>
          <w:iCs/>
          <w:color w:val="222222"/>
          <w:szCs w:val="24"/>
          <w:shd w:val="clear" w:color="auto" w:fill="FFFFFF"/>
        </w:rPr>
        <w:t>20</w:t>
      </w:r>
      <w:r w:rsidRPr="008C1DEE">
        <w:rPr>
          <w:rFonts w:cs="Times New Roman"/>
          <w:color w:val="222222"/>
          <w:szCs w:val="24"/>
          <w:shd w:val="clear" w:color="auto" w:fill="FFFFFF"/>
        </w:rPr>
        <w:t>(48), 18477.</w:t>
      </w:r>
    </w:p>
    <w:p w14:paraId="1F0380FF" w14:textId="77777777" w:rsidR="008C1DEE" w:rsidRPr="008C1DEE" w:rsidRDefault="004778A8" w:rsidP="008C1DEE">
      <w:pPr>
        <w:spacing w:line="480" w:lineRule="auto"/>
        <w:ind w:left="720" w:hanging="720"/>
        <w:jc w:val="both"/>
        <w:rPr>
          <w:rFonts w:cs="Times New Roman"/>
          <w:sz w:val="32"/>
          <w:szCs w:val="28"/>
        </w:rPr>
      </w:pPr>
      <w:r w:rsidRPr="008C1DEE">
        <w:rPr>
          <w:rFonts w:cs="Times New Roman"/>
          <w:color w:val="222222"/>
          <w:szCs w:val="24"/>
          <w:shd w:val="clear" w:color="auto" w:fill="FFFFFF"/>
        </w:rPr>
        <w:t>Marieb, E. N., &amp; Nicpon-Marieb, E. (1992). </w:t>
      </w:r>
      <w:r w:rsidRPr="008C1DEE">
        <w:rPr>
          <w:rFonts w:cs="Times New Roman"/>
          <w:i/>
          <w:iCs/>
          <w:color w:val="222222"/>
          <w:szCs w:val="24"/>
          <w:shd w:val="clear" w:color="auto" w:fill="FFFFFF"/>
        </w:rPr>
        <w:t>Human anatomy and physiology</w:t>
      </w:r>
      <w:r w:rsidRPr="008C1DEE">
        <w:rPr>
          <w:rFonts w:cs="Times New Roman"/>
          <w:color w:val="222222"/>
          <w:szCs w:val="24"/>
          <w:shd w:val="clear" w:color="auto" w:fill="FFFFFF"/>
        </w:rPr>
        <w:t> (pp. 592-597). Redwood City, CA: Benjamin/Cummings Publishing Company.</w:t>
      </w:r>
    </w:p>
    <w:p w14:paraId="64786D8F" w14:textId="77777777" w:rsidR="008C1DEE" w:rsidRPr="008C1DEE" w:rsidRDefault="004778A8" w:rsidP="008C1DEE">
      <w:pPr>
        <w:spacing w:line="480" w:lineRule="auto"/>
        <w:ind w:left="720" w:hanging="720"/>
        <w:jc w:val="both"/>
        <w:rPr>
          <w:rFonts w:cs="Times New Roman"/>
          <w:color w:val="222222"/>
          <w:szCs w:val="24"/>
          <w:shd w:val="clear" w:color="auto" w:fill="FFFFFF"/>
        </w:rPr>
      </w:pPr>
      <w:r w:rsidRPr="008C1DEE">
        <w:rPr>
          <w:rFonts w:cs="Times New Roman"/>
          <w:color w:val="222222"/>
          <w:szCs w:val="24"/>
          <w:shd w:val="clear" w:color="auto" w:fill="FFFFFF"/>
        </w:rPr>
        <w:t>Plaza, J. J. G., Hulak, N., Zhumadilov, Z., &amp; Akilzhanova, A. (2016). Fever is an important resource for infecti</w:t>
      </w:r>
      <w:r w:rsidRPr="008C1DEE">
        <w:rPr>
          <w:rFonts w:cs="Times New Roman"/>
          <w:color w:val="222222"/>
          <w:szCs w:val="24"/>
          <w:shd w:val="clear" w:color="auto" w:fill="FFFFFF"/>
        </w:rPr>
        <w:t xml:space="preserve">ous diseases research. </w:t>
      </w:r>
      <w:r w:rsidRPr="008C1DEE">
        <w:rPr>
          <w:rFonts w:cs="Times New Roman"/>
          <w:i/>
          <w:iCs/>
          <w:color w:val="222222"/>
          <w:szCs w:val="24"/>
          <w:shd w:val="clear" w:color="auto" w:fill="FFFFFF"/>
        </w:rPr>
        <w:t>Intractable &amp; rare diseases research</w:t>
      </w:r>
      <w:r w:rsidRPr="008C1DEE">
        <w:rPr>
          <w:rFonts w:cs="Times New Roman"/>
          <w:color w:val="222222"/>
          <w:szCs w:val="24"/>
          <w:shd w:val="clear" w:color="auto" w:fill="FFFFFF"/>
        </w:rPr>
        <w:t>, </w:t>
      </w:r>
      <w:r w:rsidRPr="008C1DEE">
        <w:rPr>
          <w:rFonts w:cs="Times New Roman"/>
          <w:i/>
          <w:iCs/>
          <w:color w:val="222222"/>
          <w:szCs w:val="24"/>
          <w:shd w:val="clear" w:color="auto" w:fill="FFFFFF"/>
        </w:rPr>
        <w:t>5</w:t>
      </w:r>
      <w:r w:rsidRPr="008C1DEE">
        <w:rPr>
          <w:rFonts w:cs="Times New Roman"/>
          <w:color w:val="222222"/>
          <w:szCs w:val="24"/>
          <w:shd w:val="clear" w:color="auto" w:fill="FFFFFF"/>
        </w:rPr>
        <w:t>(2), 97-102.</w:t>
      </w:r>
    </w:p>
    <w:p w14:paraId="5CD37865" w14:textId="77777777" w:rsidR="00481E91" w:rsidRDefault="00481E91"/>
    <w:p w14:paraId="5F33501E" w14:textId="4E9567D6" w:rsidR="001F7907" w:rsidRDefault="001F7907"/>
    <w:p w14:paraId="54BD6DE2" w14:textId="022D5B96" w:rsidR="001F7907" w:rsidRDefault="001F7907"/>
    <w:p w14:paraId="211F2CDC" w14:textId="4408C393" w:rsidR="001F7907" w:rsidRDefault="001F7907"/>
    <w:p w14:paraId="1F43AC1B" w14:textId="022E4926" w:rsidR="001F7907" w:rsidRDefault="001F7907"/>
    <w:p w14:paraId="44B8F944" w14:textId="77777777" w:rsidR="001F7907" w:rsidRDefault="001F7907"/>
    <w:p w14:paraId="1515F98E" w14:textId="07138AF7" w:rsidR="008A6C3B" w:rsidRDefault="008A6C3B"/>
    <w:p w14:paraId="13C6D90F" w14:textId="4E81D82F" w:rsidR="008A6C3B" w:rsidRDefault="008A6C3B"/>
    <w:p w14:paraId="664F64B4" w14:textId="0ED7413C" w:rsidR="008A6C3B" w:rsidRDefault="008A6C3B"/>
    <w:p w14:paraId="72EE473A" w14:textId="3A2F7142" w:rsidR="008A6C3B" w:rsidRDefault="008A6C3B"/>
    <w:p w14:paraId="4918CE1D" w14:textId="57A7FFE8" w:rsidR="008A6C3B" w:rsidRDefault="008A6C3B"/>
    <w:p w14:paraId="63114B29" w14:textId="297D429B" w:rsidR="008A6C3B" w:rsidRDefault="008A6C3B"/>
    <w:p w14:paraId="4570FE90" w14:textId="77777777" w:rsidR="008A6C3B" w:rsidRDefault="008A6C3B"/>
    <w:p w14:paraId="426E5ABD" w14:textId="77777777" w:rsidR="00201177" w:rsidRDefault="00201177"/>
    <w:p w14:paraId="7321361C" w14:textId="77777777" w:rsidR="0069731B" w:rsidRDefault="0069731B"/>
    <w:p w14:paraId="12BC2C89" w14:textId="58053B24" w:rsidR="00B32863" w:rsidRDefault="00B32863"/>
    <w:p w14:paraId="5BBAB6D5" w14:textId="2504F2A8" w:rsidR="00B32863" w:rsidRDefault="00B32863"/>
    <w:p w14:paraId="49DDD260" w14:textId="5DDC8151" w:rsidR="00B32863" w:rsidRDefault="00B32863"/>
    <w:p w14:paraId="6F59F576" w14:textId="692AA56D" w:rsidR="00B32863" w:rsidRDefault="00B32863"/>
    <w:p w14:paraId="241946A7" w14:textId="78B83866" w:rsidR="00B32863" w:rsidRDefault="00B32863"/>
    <w:p w14:paraId="4E58A90D" w14:textId="77777777" w:rsidR="00B32863" w:rsidRDefault="00B32863"/>
    <w:p w14:paraId="4334C031" w14:textId="77777777" w:rsidR="00B32863" w:rsidRDefault="00B32863"/>
    <w:sectPr w:rsidR="00B32863" w:rsidSect="00B51391">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B3E6A" w14:textId="77777777" w:rsidR="004778A8" w:rsidRDefault="004778A8">
      <w:pPr>
        <w:spacing w:after="0" w:line="240" w:lineRule="auto"/>
      </w:pPr>
      <w:r>
        <w:separator/>
      </w:r>
    </w:p>
  </w:endnote>
  <w:endnote w:type="continuationSeparator" w:id="0">
    <w:p w14:paraId="2DD971E5" w14:textId="77777777" w:rsidR="004778A8" w:rsidRDefault="00477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BE4DB" w14:textId="77777777" w:rsidR="004778A8" w:rsidRDefault="004778A8">
      <w:pPr>
        <w:spacing w:after="0" w:line="240" w:lineRule="auto"/>
      </w:pPr>
      <w:r>
        <w:separator/>
      </w:r>
    </w:p>
  </w:footnote>
  <w:footnote w:type="continuationSeparator" w:id="0">
    <w:p w14:paraId="2A1958A1" w14:textId="77777777" w:rsidR="004778A8" w:rsidRDefault="00477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061865"/>
      <w:docPartObj>
        <w:docPartGallery w:val="Page Numbers (Top of Page)"/>
        <w:docPartUnique/>
      </w:docPartObj>
    </w:sdtPr>
    <w:sdtEndPr>
      <w:rPr>
        <w:noProof/>
      </w:rPr>
    </w:sdtEndPr>
    <w:sdtContent>
      <w:p w14:paraId="02F468BB" w14:textId="60C05729" w:rsidR="00B51391" w:rsidRDefault="004778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14ED5A" w14:textId="77777777" w:rsidR="00B51391" w:rsidRDefault="00B513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55E60" w14:textId="5B2CC83E" w:rsidR="00B51391" w:rsidRDefault="004778A8">
    <w:pPr>
      <w:pStyle w:val="Header"/>
    </w:pPr>
    <w:r>
      <w:t>Running Head:</w:t>
    </w:r>
    <w:r w:rsidR="008C1DEE">
      <w:t xml:space="preserve"> TETANUS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137"/>
    <w:rsid w:val="0005344A"/>
    <w:rsid w:val="00053F62"/>
    <w:rsid w:val="00066412"/>
    <w:rsid w:val="000B5282"/>
    <w:rsid w:val="000E6896"/>
    <w:rsid w:val="000F11AA"/>
    <w:rsid w:val="000F4FB7"/>
    <w:rsid w:val="00141AD2"/>
    <w:rsid w:val="00144584"/>
    <w:rsid w:val="00176311"/>
    <w:rsid w:val="0018694E"/>
    <w:rsid w:val="00194137"/>
    <w:rsid w:val="001A70A9"/>
    <w:rsid w:val="001D7EC5"/>
    <w:rsid w:val="001E0A6B"/>
    <w:rsid w:val="001F7907"/>
    <w:rsid w:val="00201177"/>
    <w:rsid w:val="00273B8C"/>
    <w:rsid w:val="00323AF6"/>
    <w:rsid w:val="003245A8"/>
    <w:rsid w:val="00341CAC"/>
    <w:rsid w:val="003828FB"/>
    <w:rsid w:val="003A31AB"/>
    <w:rsid w:val="003C381D"/>
    <w:rsid w:val="004778A8"/>
    <w:rsid w:val="00481E91"/>
    <w:rsid w:val="00496DA7"/>
    <w:rsid w:val="004B3A05"/>
    <w:rsid w:val="004F011C"/>
    <w:rsid w:val="004F2A2D"/>
    <w:rsid w:val="00521C1C"/>
    <w:rsid w:val="00524614"/>
    <w:rsid w:val="005307E8"/>
    <w:rsid w:val="0067689C"/>
    <w:rsid w:val="006879F9"/>
    <w:rsid w:val="0069731B"/>
    <w:rsid w:val="006A3D0C"/>
    <w:rsid w:val="007003EB"/>
    <w:rsid w:val="007576EC"/>
    <w:rsid w:val="007B0D0D"/>
    <w:rsid w:val="007C41E1"/>
    <w:rsid w:val="007F1D1D"/>
    <w:rsid w:val="007F2236"/>
    <w:rsid w:val="00811A14"/>
    <w:rsid w:val="00833F4E"/>
    <w:rsid w:val="008528EA"/>
    <w:rsid w:val="0087400A"/>
    <w:rsid w:val="008872B2"/>
    <w:rsid w:val="008A6C3B"/>
    <w:rsid w:val="008C1DEE"/>
    <w:rsid w:val="009806C2"/>
    <w:rsid w:val="009925DC"/>
    <w:rsid w:val="00996037"/>
    <w:rsid w:val="0099632C"/>
    <w:rsid w:val="009E6136"/>
    <w:rsid w:val="00A50552"/>
    <w:rsid w:val="00A74ADF"/>
    <w:rsid w:val="00A8256D"/>
    <w:rsid w:val="00B14E40"/>
    <w:rsid w:val="00B32863"/>
    <w:rsid w:val="00B349E5"/>
    <w:rsid w:val="00B44F7E"/>
    <w:rsid w:val="00B51391"/>
    <w:rsid w:val="00B837DC"/>
    <w:rsid w:val="00BC1F30"/>
    <w:rsid w:val="00BD154E"/>
    <w:rsid w:val="00BF61A8"/>
    <w:rsid w:val="00C1771A"/>
    <w:rsid w:val="00D06D9E"/>
    <w:rsid w:val="00D853B5"/>
    <w:rsid w:val="00DA4183"/>
    <w:rsid w:val="00DA784A"/>
    <w:rsid w:val="00DB58AF"/>
    <w:rsid w:val="00DC6D62"/>
    <w:rsid w:val="00DF0A92"/>
    <w:rsid w:val="00E37CE4"/>
    <w:rsid w:val="00E46610"/>
    <w:rsid w:val="00E67677"/>
    <w:rsid w:val="00E83B4C"/>
    <w:rsid w:val="00E96BD8"/>
    <w:rsid w:val="00EB55D0"/>
    <w:rsid w:val="00EE5944"/>
    <w:rsid w:val="00F3009B"/>
    <w:rsid w:val="00F60550"/>
    <w:rsid w:val="00F875D8"/>
    <w:rsid w:val="00FA0479"/>
    <w:rsid w:val="00FC5FE5"/>
    <w:rsid w:val="00FD4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FACFE"/>
  <w15:chartTrackingRefBased/>
  <w15:docId w15:val="{AC6032D5-6458-4FFC-8501-AE7046923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3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391"/>
  </w:style>
  <w:style w:type="paragraph" w:styleId="Footer">
    <w:name w:val="footer"/>
    <w:basedOn w:val="Normal"/>
    <w:link w:val="FooterChar"/>
    <w:uiPriority w:val="99"/>
    <w:unhideWhenUsed/>
    <w:rsid w:val="00B513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8</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69</cp:revision>
  <dcterms:created xsi:type="dcterms:W3CDTF">2021-09-12T14:35:00Z</dcterms:created>
  <dcterms:modified xsi:type="dcterms:W3CDTF">2021-09-12T19:30:00Z</dcterms:modified>
</cp:coreProperties>
</file>